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Siedlcach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 xml:space="preserve">z </w:t>
      </w:r>
      <w:r w:rsidR="00266747">
        <w:t>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Garwolińskiego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bookmarkEnd w:id="0"/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Siedlcach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</w:t>
      </w:r>
      <w:r w:rsidR="00CE031B" w:rsidRPr="00027E98">
        <w:t>stom</w:t>
      </w:r>
      <w:r w:rsidRPr="00027E98">
        <w:t xml:space="preserve">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</w:t>
      </w:r>
      <w:r w:rsidR="00CE031B" w:rsidRPr="00027E98">
        <w:t>rejestrowanym</w:t>
      </w:r>
      <w:r w:rsidRPr="00027E98">
        <w:t xml:space="preserve"> w więcej niż jednym okręgu wyborczym w wyborach do Rady Powiatu Garwolińskiego,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WSPÓLNIE DLA POWIATU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Komisarz Wyborczy w Siedlcach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D0085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r w:rsidR="004A5E25" w:rsidRPr="00027E98">
        <w:t>Konrad Mielcarek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7E98"/>
    <w:rsid w:val="00192110"/>
    <w:rsid w:val="001C658E"/>
    <w:rsid w:val="00232191"/>
    <w:rsid w:val="00266747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864F7F"/>
    <w:rsid w:val="0094679F"/>
    <w:rsid w:val="009639EC"/>
    <w:rsid w:val="00AA598B"/>
    <w:rsid w:val="00AB5AED"/>
    <w:rsid w:val="00AB5C31"/>
    <w:rsid w:val="00BF2631"/>
    <w:rsid w:val="00CE031B"/>
    <w:rsid w:val="00CE5526"/>
    <w:rsid w:val="00D00851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Iwona Kozieł</cp:lastModifiedBy>
  <cp:revision>2</cp:revision>
  <cp:lastPrinted>2018-09-27T12:28:00Z</cp:lastPrinted>
  <dcterms:created xsi:type="dcterms:W3CDTF">2018-09-28T07:19:00Z</dcterms:created>
  <dcterms:modified xsi:type="dcterms:W3CDTF">2018-09-28T07:19:00Z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